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 xml:space="preserve">Savremena terapija u sekundarnoj prevenciji koronarane bolesti srca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7F3EF289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2A6825">
        <w:rPr>
          <w:rFonts w:ascii="Times" w:hAnsi="Times"/>
        </w:rPr>
        <w:t>15.</w:t>
      </w:r>
      <w:r w:rsidR="0084351D">
        <w:rPr>
          <w:rFonts w:ascii="Times" w:hAnsi="Times"/>
        </w:rPr>
        <w:t xml:space="preserve"> </w:t>
      </w:r>
      <w:r w:rsidR="002A6825">
        <w:rPr>
          <w:rFonts w:ascii="Times" w:hAnsi="Times"/>
        </w:rPr>
        <w:t>06.</w:t>
      </w:r>
      <w:r w:rsidR="0084351D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58AF896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11/04-500-63-65/21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26781E9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4351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0324E" w14:textId="77777777" w:rsidR="001D6EDF" w:rsidRDefault="001D6EDF">
      <w:r>
        <w:separator/>
      </w:r>
    </w:p>
  </w:endnote>
  <w:endnote w:type="continuationSeparator" w:id="0">
    <w:p w14:paraId="2E4809BF" w14:textId="77777777" w:rsidR="001D6EDF" w:rsidRDefault="001D6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A2399F-BDEE-4014-8C8C-6C30A8E610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6E8C6CAB-1B7C-4CEC-97A3-4CA004127CA7}"/>
    <w:embedBold r:id="rId3" w:fontKey="{DCD6F294-FCFB-4EAD-B344-788D0E5ECBC8}"/>
    <w:embedItalic r:id="rId4" w:fontKey="{80F6AF45-83B1-4A8D-B8BB-2935DCC82598}"/>
    <w:embedBoldItalic r:id="rId5" w:fontKey="{67D74116-DEAE-4E9A-BED2-6419A389AD37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083DB237-D045-4BBF-9D86-25F9E0B570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6D15174-43E4-4C4E-85D2-6A1849BFE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BCA6701-8E9E-4F81-9BF5-168054299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437DD" w14:textId="77777777" w:rsidR="001D6EDF" w:rsidRDefault="001D6EDF">
      <w:r>
        <w:separator/>
      </w:r>
    </w:p>
  </w:footnote>
  <w:footnote w:type="continuationSeparator" w:id="0">
    <w:p w14:paraId="10E069FE" w14:textId="77777777" w:rsidR="001D6EDF" w:rsidRDefault="001D6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6EDF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945CB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351D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3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578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3</cp:revision>
  <cp:lastPrinted>2020-03-17T15:33:00Z</cp:lastPrinted>
  <dcterms:created xsi:type="dcterms:W3CDTF">2022-02-17T17:48:00Z</dcterms:created>
  <dcterms:modified xsi:type="dcterms:W3CDTF">2022-02-17T17:55:00Z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